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0C0232">
        <w:rPr>
          <w:b/>
          <w:bCs/>
          <w:sz w:val="32"/>
          <w:szCs w:val="32"/>
        </w:rPr>
        <w:t>Establishment</w:t>
      </w:r>
      <w:r w:rsidR="00693633" w:rsidRPr="000C0232">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63262C">
        <w:rPr>
          <w:b/>
          <w:bCs/>
          <w:sz w:val="40"/>
          <w:szCs w:val="40"/>
        </w:rPr>
        <w:t>Hebron</w:t>
      </w:r>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C423D7" w:rsidRDefault="00774E18" w:rsidP="008C046A">
            <w:pPr>
              <w:jc w:val="right"/>
              <w:rPr>
                <w:sz w:val="14"/>
                <w:szCs w:val="14"/>
              </w:rPr>
            </w:pPr>
            <w:r w:rsidRPr="002C3D60">
              <w:rPr>
                <w:b/>
                <w:bCs/>
                <w:sz w:val="28"/>
                <w:szCs w:val="28"/>
              </w:rPr>
              <w:t>January</w:t>
            </w:r>
            <w:r w:rsidRPr="002C3D60">
              <w:rPr>
                <w:b/>
                <w:bCs/>
                <w:color w:val="000000" w:themeColor="text1"/>
                <w:sz w:val="28"/>
                <w:szCs w:val="28"/>
              </w:rPr>
              <w:t>, 2020</w:t>
            </w: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0247EC">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502A6B" w:rsidRDefault="00502A6B"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774E18">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774E18" w:rsidRPr="002C3D60">
        <w:rPr>
          <w:sz w:val="20"/>
          <w:szCs w:val="20"/>
        </w:rPr>
        <w:t>January</w:t>
      </w:r>
      <w:r w:rsidR="00774E18" w:rsidRPr="002C3D60">
        <w:rPr>
          <w:rFonts w:cs="Traditional Arabic"/>
          <w:color w:val="000000" w:themeColor="text1"/>
          <w:sz w:val="20"/>
          <w:szCs w:val="20"/>
          <w:lang w:val="en-AU"/>
        </w:rPr>
        <w:t>,</w:t>
      </w:r>
      <w:r w:rsidR="00774E18" w:rsidRPr="002C3D60">
        <w:rPr>
          <w:rFonts w:cs="Traditional Arabic"/>
          <w:color w:val="000000" w:themeColor="text1"/>
          <w:sz w:val="20"/>
          <w:szCs w:val="20"/>
        </w:rPr>
        <w:t xml:space="preserve"> </w:t>
      </w:r>
      <w:r w:rsidR="00774E18">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C241D4">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1D4">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63262C">
        <w:rPr>
          <w:rFonts w:asciiTheme="majorBidi" w:hAnsiTheme="majorBidi" w:cstheme="majorBidi"/>
        </w:rPr>
        <w:t>Hebron</w:t>
      </w:r>
      <w:r w:rsidR="000370F6">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7457C6" w:rsidRDefault="00C63631" w:rsidP="00B80AD4">
            <w:pPr>
              <w:pStyle w:val="BlockText"/>
              <w:tabs>
                <w:tab w:val="clear" w:pos="8647"/>
              </w:tabs>
              <w:ind w:left="0" w:right="-2"/>
              <w:jc w:val="left"/>
              <w:rPr>
                <w:sz w:val="20"/>
                <w:rtl/>
              </w:rPr>
            </w:pPr>
            <w:r w:rsidRPr="007457C6">
              <w:rPr>
                <w:sz w:val="20"/>
              </w:rPr>
              <w:t>Reference ID:</w:t>
            </w:r>
            <w:r w:rsidR="007457C6" w:rsidRPr="007457C6">
              <w:rPr>
                <w:sz w:val="20"/>
              </w:rPr>
              <w:t xml:space="preserve"> 2503</w:t>
            </w:r>
            <w:r w:rsidRPr="007457C6">
              <w:rPr>
                <w:sz w:val="20"/>
              </w:rPr>
              <w:t xml:space="preserve"> </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4069C" w:rsidRDefault="0017019C">
      <w:pPr>
        <w:rPr>
          <w:b/>
          <w:bCs/>
          <w:color w:val="000000" w:themeColor="text1"/>
          <w:sz w:val="28"/>
          <w:szCs w:val="28"/>
        </w:rPr>
        <w:sectPr w:rsidR="0014069C" w:rsidSect="000B2978">
          <w:headerReference w:type="default" r:id="rId15"/>
          <w:pgSz w:w="11906" w:h="16838" w:code="9"/>
          <w:pgMar w:top="1418" w:right="1418" w:bottom="1418" w:left="1418" w:header="709" w:footer="709" w:gutter="0"/>
          <w:pgNumType w:start="17"/>
          <w:cols w:space="708"/>
          <w:titlePg/>
          <w:docGrid w:linePitch="360"/>
        </w:sectPr>
      </w:pPr>
      <w:r>
        <w:rPr>
          <w:b/>
          <w:bCs/>
          <w:color w:val="000000" w:themeColor="text1"/>
          <w:sz w:val="28"/>
          <w:szCs w:val="28"/>
        </w:rPr>
        <w:lastRenderedPageBreak/>
        <w:br w:type="page"/>
      </w:r>
    </w:p>
    <w:p w:rsidR="0014069C" w:rsidRDefault="0014069C" w:rsidP="00B4629A">
      <w:pPr>
        <w:autoSpaceDE w:val="0"/>
        <w:autoSpaceDN w:val="0"/>
        <w:adjustRightInd w:val="0"/>
        <w:jc w:val="center"/>
        <w:rPr>
          <w:b/>
          <w:bCs/>
          <w:color w:val="000000" w:themeColor="text1"/>
          <w:sz w:val="28"/>
          <w:szCs w:val="28"/>
        </w:rPr>
        <w:sectPr w:rsidR="0014069C" w:rsidSect="0014069C">
          <w:pgSz w:w="16838" w:h="11906" w:orient="landscape" w:code="9"/>
          <w:pgMar w:top="1418" w:right="1418" w:bottom="1418" w:left="1418" w:header="709" w:footer="709" w:gutter="0"/>
          <w:pgNumType w:start="17"/>
          <w:cols w:space="708"/>
          <w:titlePg/>
          <w:docGrid w:linePitch="360"/>
        </w:sectPr>
      </w:pPr>
      <w:r>
        <w:rPr>
          <w:b/>
          <w:bCs/>
          <w:noProof/>
          <w:color w:val="000000" w:themeColor="text1"/>
          <w:sz w:val="28"/>
          <w:szCs w:val="28"/>
        </w:rPr>
        <w:lastRenderedPageBreak/>
        <w:drawing>
          <wp:inline distT="0" distB="0" distL="0" distR="0">
            <wp:extent cx="8134985" cy="5759450"/>
            <wp:effectExtent l="19050" t="0" r="0" b="0"/>
            <wp:docPr id="13" name="Picture 12" descr="Hebron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bron_EN.jpg"/>
                    <pic:cNvPicPr/>
                  </pic:nvPicPr>
                  <pic:blipFill>
                    <a:blip r:embed="rId16" cstate="print"/>
                    <a:stretch>
                      <a:fillRect/>
                    </a:stretch>
                  </pic:blipFill>
                  <pic:spPr>
                    <a:xfrm>
                      <a:off x="0" y="0"/>
                      <a:ext cx="8134985" cy="5759450"/>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264F9C" w:rsidP="00264F9C">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1E520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0247EC"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4559E6">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290A16">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63262C">
              <w:rPr>
                <w:color w:val="000000" w:themeColor="text1"/>
              </w:rPr>
              <w:t>Hebron</w:t>
            </w:r>
            <w:r w:rsidR="000370F6">
              <w:rPr>
                <w:color w:val="000000" w:themeColor="text1"/>
              </w:rPr>
              <w:t xml:space="preserve"> </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63262C">
              <w:rPr>
                <w:color w:val="000000" w:themeColor="text1"/>
              </w:rPr>
              <w:t>Hebron</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63262C">
              <w:rPr>
                <w:color w:val="000000" w:themeColor="text1"/>
              </w:rPr>
              <w:t>Hebron</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63262C">
              <w:rPr>
                <w:color w:val="000000" w:themeColor="text1"/>
              </w:rPr>
              <w:t>Hebron</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C406C4">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00C406C4">
              <w:rPr>
                <w:color w:val="000000" w:themeColor="text1"/>
              </w:rPr>
              <w:t xml:space="preserve"> </w:t>
            </w:r>
            <w:r w:rsidRPr="00B03BDA">
              <w:rPr>
                <w:color w:val="000000" w:themeColor="text1"/>
              </w:rPr>
              <w:t>in</w:t>
            </w:r>
            <w:r w:rsidR="008A601E">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217B47">
              <w:rPr>
                <w:color w:val="000000" w:themeColor="text1"/>
              </w:rPr>
              <w:t xml:space="preserve">        </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BC5645">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63262C">
              <w:rPr>
                <w:color w:val="000000" w:themeColor="text1"/>
              </w:rPr>
              <w:t>Hebron</w:t>
            </w:r>
            <w:r w:rsidR="000370F6">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217B47">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BC5645">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63262C">
              <w:rPr>
                <w:color w:val="000000" w:themeColor="text1"/>
              </w:rPr>
              <w:t>Hebron</w:t>
            </w:r>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63262C">
              <w:rPr>
                <w:color w:val="000000" w:themeColor="text1"/>
              </w:rPr>
              <w:t>Hebron</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217B47">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63262C">
              <w:rPr>
                <w:color w:val="000000" w:themeColor="text1"/>
              </w:rPr>
              <w:t>Hebron</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60625C" w:rsidP="00657B46">
            <w:pPr>
              <w:jc w:val="center"/>
              <w:rPr>
                <w:color w:val="000000" w:themeColor="text1"/>
              </w:rPr>
            </w:pPr>
            <w:r>
              <w:rPr>
                <w:b/>
                <w:bCs/>
                <w:color w:val="000000" w:themeColor="text1"/>
              </w:rPr>
              <w:t>104</w:t>
            </w:r>
          </w:p>
        </w:tc>
      </w:tr>
      <w:tr w:rsidR="007168A8" w:rsidRPr="00AA2D74" w:rsidTr="00217B47">
        <w:trPr>
          <w:trHeight w:val="239"/>
          <w:jc w:val="center"/>
        </w:trPr>
        <w:tc>
          <w:tcPr>
            <w:tcW w:w="1227" w:type="dxa"/>
          </w:tcPr>
          <w:p w:rsidR="00BC5645" w:rsidRPr="00734E65" w:rsidRDefault="00BC5645" w:rsidP="00915C8F">
            <w:pPr>
              <w:jc w:val="center"/>
              <w:rPr>
                <w:b/>
                <w:bCs/>
                <w:color w:val="000000" w:themeColor="text1"/>
                <w:sz w:val="10"/>
                <w:szCs w:val="10"/>
              </w:rPr>
            </w:pPr>
          </w:p>
        </w:tc>
        <w:tc>
          <w:tcPr>
            <w:tcW w:w="6760" w:type="dxa"/>
          </w:tcPr>
          <w:p w:rsidR="00C406C4" w:rsidRPr="003A4065" w:rsidRDefault="00C406C4"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r w:rsidR="0063262C">
              <w:rPr>
                <w:color w:val="000000" w:themeColor="text1"/>
              </w:rPr>
              <w:t>Hebron</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217B47">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lastRenderedPageBreak/>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63262C">
              <w:rPr>
                <w:color w:val="000000" w:themeColor="text1"/>
              </w:rPr>
              <w:t>Hebron</w:t>
            </w:r>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63262C">
              <w:rPr>
                <w:color w:val="000000" w:themeColor="text1"/>
              </w:rPr>
              <w:t>Hebron</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63262C">
              <w:rPr>
                <w:color w:val="000000" w:themeColor="text1"/>
              </w:rPr>
              <w:t>Hebron</w:t>
            </w:r>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63262C">
              <w:rPr>
                <w:color w:val="000000" w:themeColor="text1"/>
              </w:rPr>
              <w:t>Hebron</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63262C">
              <w:rPr>
                <w:color w:val="000000" w:themeColor="text1"/>
              </w:rPr>
              <w:t>Hebron</w:t>
            </w:r>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EC6885" w:rsidRDefault="00EC6885">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2D2EB0" w:rsidP="004D28F9">
            <w:pPr>
              <w:rPr>
                <w:b/>
                <w:bCs/>
              </w:rPr>
            </w:pPr>
            <w:r w:rsidRPr="002C3D60">
              <w:rPr>
                <w:b/>
                <w:bCs/>
                <w:sz w:val="28"/>
                <w:szCs w:val="28"/>
              </w:rPr>
              <w:t>January, 20</w:t>
            </w:r>
            <w:r>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264F9C" w:rsidP="00264F9C">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14069C">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E2313D">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divided into 5 Go</w:t>
      </w:r>
      <w:r w:rsidR="00E2313D">
        <w:t xml:space="preserve">vernorates (North Gaza, Gaza, </w:t>
      </w:r>
      <w:proofErr w:type="spellStart"/>
      <w:r w:rsidR="00E2313D">
        <w:t>D</w:t>
      </w:r>
      <w:r w:rsidRPr="00D835A5">
        <w:t>i</w:t>
      </w:r>
      <w:r w:rsidR="00E2313D">
        <w:t>e</w:t>
      </w:r>
      <w:r w:rsidRPr="00D835A5">
        <w:t>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3C4676">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63262C">
        <w:t>Hebron</w:t>
      </w:r>
      <w:r w:rsidR="000370F6">
        <w:t xml:space="preserve"> </w:t>
      </w:r>
      <w:r w:rsidR="00A85FC9" w:rsidRPr="00A85FC9">
        <w:t>Governorate</w:t>
      </w:r>
      <w:r w:rsidR="00D743FB" w:rsidRPr="00986133">
        <w:t>,</w:t>
      </w:r>
      <w:r w:rsidR="00B6214C" w:rsidRPr="00986133">
        <w:t xml:space="preserve"> based on the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3C4676">
      <w:pPr>
        <w:jc w:val="both"/>
      </w:pPr>
      <w:r>
        <w:t xml:space="preserve">Census data showed that the number of </w:t>
      </w:r>
      <w:r w:rsidRPr="006C52EA">
        <w:t>occupied</w:t>
      </w:r>
      <w:r>
        <w:t xml:space="preserve"> housing units in </w:t>
      </w:r>
      <w:r w:rsidR="0063262C">
        <w:t>Hebron</w:t>
      </w:r>
      <w:r w:rsidR="003C4676">
        <w:t xml:space="preserve"> </w:t>
      </w:r>
      <w:r w:rsidR="00A85FC9" w:rsidRPr="00A85FC9">
        <w:t>Governorate</w:t>
      </w:r>
      <w:r>
        <w:t xml:space="preserve"> is </w:t>
      </w:r>
      <w:r w:rsidR="00837B51" w:rsidRPr="00837B51">
        <w:t>135,614</w:t>
      </w:r>
      <w:r w:rsidR="009D6EC9" w:rsidRPr="0006326C">
        <w:t xml:space="preserve">, </w:t>
      </w:r>
      <w:r w:rsidR="00837B51" w:rsidRPr="00837B51">
        <w:t>22.8</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837B51" w:rsidRPr="00837B51">
        <w:t>85.4</w:t>
      </w:r>
      <w:r>
        <w:t xml:space="preserve">% in urban, </w:t>
      </w:r>
      <w:r w:rsidR="00837B51" w:rsidRPr="00837B51">
        <w:t>12.2</w:t>
      </w:r>
      <w:r>
        <w:t>% in rural</w:t>
      </w:r>
      <w:r w:rsidR="007E6E8B">
        <w:t xml:space="preserve"> </w:t>
      </w:r>
      <w:r>
        <w:t xml:space="preserve"> and </w:t>
      </w:r>
      <w:r w:rsidR="0006326C">
        <w:t xml:space="preserve"> </w:t>
      </w:r>
      <w:r w:rsidR="00837B51" w:rsidRPr="00837B51">
        <w:t>2.4</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837B51" w:rsidRPr="00837B51">
        <w:t>54.7</w:t>
      </w:r>
      <w:r w:rsidR="009D6EC9">
        <w:t>% in comparison with the 2007 Census.</w:t>
      </w:r>
      <w:r w:rsidR="00260582" w:rsidRPr="00986133">
        <w:t xml:space="preserve"> </w:t>
      </w:r>
    </w:p>
    <w:p w:rsidR="00C12024" w:rsidRPr="00986133" w:rsidRDefault="00C12024" w:rsidP="003C4676">
      <w:pPr>
        <w:jc w:val="both"/>
      </w:pPr>
    </w:p>
    <w:p w:rsidR="00805FB8" w:rsidRDefault="00306C1B" w:rsidP="00837B51">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837B51" w:rsidRPr="00837B51">
        <w:t>706,836</w:t>
      </w:r>
      <w:r w:rsidR="00837B51" w:rsidRPr="00837B51">
        <w:rPr>
          <w:rFonts w:hint="cs"/>
          <w:rtl/>
        </w:rPr>
        <w:t xml:space="preserve"> </w:t>
      </w:r>
      <w:r w:rsidR="00726CF3">
        <w:t xml:space="preserve">with an increase of </w:t>
      </w:r>
      <w:r w:rsidR="00837B51" w:rsidRPr="00837B51">
        <w:t>31.4</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r w:rsidR="0063262C">
        <w:rPr>
          <w:rFonts w:ascii="Arial" w:hAnsi="Arial" w:cs="Arial"/>
          <w:b/>
          <w:bCs/>
          <w:sz w:val="22"/>
        </w:rPr>
        <w:t>Hebron</w:t>
      </w:r>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D52CC8" w:rsidP="005E5EF3">
            <w:pPr>
              <w:tabs>
                <w:tab w:val="num" w:pos="624"/>
              </w:tabs>
              <w:ind w:right="140"/>
              <w:jc w:val="center"/>
              <w:rPr>
                <w:b/>
                <w:bCs/>
                <w:rtl/>
              </w:rPr>
            </w:pPr>
            <w:r>
              <w:rPr>
                <w:b/>
                <w:bCs/>
              </w:rPr>
              <w:t>5</w:t>
            </w:r>
            <w:r w:rsidR="005E5EF3">
              <w:rPr>
                <w:b/>
                <w:bCs/>
              </w:rPr>
              <w:t>1</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5E5EF3" w:rsidRPr="005E5EF3">
              <w:rPr>
                <w:b/>
                <w:bCs/>
              </w:rPr>
              <w:t>House</w:t>
            </w:r>
          </w:p>
        </w:tc>
      </w:tr>
    </w:tbl>
    <w:p w:rsidR="00EC1A8D" w:rsidRPr="00757DF7" w:rsidRDefault="00EC1A8D" w:rsidP="001F36B4">
      <w:pPr>
        <w:pStyle w:val="ListParagraph"/>
        <w:bidi w:val="0"/>
        <w:ind w:left="780"/>
        <w:jc w:val="center"/>
        <w:rPr>
          <w:b/>
          <w:bCs/>
        </w:rPr>
      </w:pPr>
    </w:p>
    <w:p w:rsidR="005B7B4B" w:rsidRDefault="005B7B4B" w:rsidP="0096043C">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96043C" w:rsidRPr="0096043C">
        <w:t>69,396</w:t>
      </w:r>
      <w:r w:rsidR="0096043C">
        <w:rPr>
          <w:rFonts w:hint="cs"/>
          <w:rtl/>
        </w:rPr>
        <w:t xml:space="preserve"> </w:t>
      </w:r>
      <w:r>
        <w:t xml:space="preserve">of occupied </w:t>
      </w:r>
      <w:r w:rsidRPr="00052ED9">
        <w:t xml:space="preserve">housing </w:t>
      </w:r>
      <w:r>
        <w:t>units are</w:t>
      </w:r>
      <w:r w:rsidR="00C35EA7" w:rsidRPr="00C35EA7">
        <w:t xml:space="preserve"> </w:t>
      </w:r>
      <w:r w:rsidR="00C12024">
        <w:t xml:space="preserve">classified as </w:t>
      </w:r>
      <w:r w:rsidR="00C35EA7">
        <w:t>houses</w:t>
      </w:r>
      <w:r w:rsidR="006F3B6A">
        <w:t xml:space="preserve"> </w:t>
      </w:r>
      <w:r w:rsidR="0096043C" w:rsidRPr="0096043C">
        <w:t>51.2</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96043C" w:rsidRPr="0096043C">
        <w:t>62,950</w:t>
      </w:r>
      <w:r w:rsidR="0096043C">
        <w:rPr>
          <w:rFonts w:hint="cs"/>
          <w:rtl/>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96043C" w:rsidRPr="0096043C">
        <w:t>46.4</w:t>
      </w:r>
      <w:r w:rsidRPr="00052ED9">
        <w:t>%,</w:t>
      </w:r>
      <w:r>
        <w:t xml:space="preserve"> and</w:t>
      </w:r>
      <w:r w:rsidRPr="00052ED9">
        <w:t xml:space="preserve"> </w:t>
      </w:r>
      <w:r w:rsidR="0096043C" w:rsidRPr="0096043C">
        <w:t>2,246</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96043C" w:rsidRPr="0096043C">
        <w:t>1.7</w:t>
      </w:r>
      <w:r>
        <w:t>%</w:t>
      </w:r>
      <w:r w:rsidR="00676844">
        <w:t>.</w:t>
      </w:r>
      <w:r>
        <w:t xml:space="preserve"> </w:t>
      </w:r>
      <w:r w:rsidRPr="006F7011">
        <w:t>(see table 3).</w:t>
      </w:r>
    </w:p>
    <w:p w:rsidR="00C11F32" w:rsidRDefault="009607D3" w:rsidP="00C11F32">
      <w:pPr>
        <w:pStyle w:val="Heading3"/>
        <w:bidi/>
        <w:rPr>
          <w:rFonts w:ascii="Arial" w:hAnsi="Arial" w:cs="Arial"/>
          <w:sz w:val="22"/>
          <w:szCs w:val="22"/>
        </w:rPr>
      </w:pPr>
      <w:r>
        <w:rPr>
          <w:rFonts w:ascii="Arial" w:hAnsi="Arial" w:cs="Arial"/>
          <w:sz w:val="22"/>
          <w:szCs w:val="22"/>
        </w:rPr>
        <w:lastRenderedPageBreak/>
        <w:t xml:space="preserve">  </w:t>
      </w:r>
      <w:r w:rsidR="005E6F3D">
        <w:rPr>
          <w:rFonts w:ascii="Arial" w:hAnsi="Arial" w:cs="Arial"/>
          <w:sz w:val="22"/>
          <w:szCs w:val="22"/>
        </w:rPr>
        <w:t xml:space="preserve"> </w:t>
      </w:r>
      <w:r>
        <w:rPr>
          <w:rFonts w:ascii="Arial" w:hAnsi="Arial" w:cs="Arial"/>
          <w:sz w:val="22"/>
          <w:szCs w:val="22"/>
        </w:rPr>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63262C">
        <w:rPr>
          <w:rFonts w:ascii="Arial" w:hAnsi="Arial" w:cs="Arial"/>
          <w:sz w:val="22"/>
          <w:szCs w:val="22"/>
        </w:rPr>
        <w:t>Hebron</w:t>
      </w:r>
      <w:r w:rsidR="008C3A26">
        <w:rPr>
          <w:rFonts w:ascii="Arial" w:hAnsi="Arial" w:cs="Arial"/>
          <w:sz w:val="22"/>
          <w:szCs w:val="22"/>
        </w:rPr>
        <w:t xml:space="preserve"> </w:t>
      </w:r>
      <w:r w:rsidR="00A85FC9">
        <w:rPr>
          <w:rFonts w:ascii="Arial" w:hAnsi="Arial" w:cs="Arial"/>
          <w:sz w:val="22"/>
          <w:szCs w:val="22"/>
        </w:rPr>
        <w:t xml:space="preserve">Governorate </w:t>
      </w:r>
      <w:r w:rsidR="00FF0011">
        <w:rPr>
          <w:rFonts w:ascii="Arial" w:hAnsi="Arial" w:cs="Arial"/>
          <w:sz w:val="22"/>
          <w:szCs w:val="22"/>
        </w:rPr>
        <w:t>by</w:t>
      </w:r>
      <w:r w:rsidR="00C11F32">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p w:rsidR="00FF0011" w:rsidRPr="00C11F32" w:rsidRDefault="00C11F32" w:rsidP="00C11F32">
      <w:pPr>
        <w:pStyle w:val="Heading3"/>
        <w:bidi/>
        <w:rPr>
          <w:rFonts w:ascii="Arial" w:hAnsi="Arial" w:cs="Arial" w:hint="cs"/>
          <w:sz w:val="2"/>
          <w:szCs w:val="2"/>
          <w:rtl/>
        </w:rPr>
      </w:pPr>
      <w:r>
        <w:rPr>
          <w:rFonts w:ascii="Arial" w:hAnsi="Arial" w:cs="Arial"/>
          <w:sz w:val="22"/>
          <w:szCs w:val="22"/>
        </w:rPr>
        <w:t xml:space="preserve"> </w:t>
      </w:r>
    </w:p>
    <w:tbl>
      <w:tblPr>
        <w:tblStyle w:val="TableGrid"/>
        <w:tblW w:w="0" w:type="auto"/>
        <w:jc w:val="center"/>
        <w:tblLayout w:type="fixed"/>
        <w:tblLook w:val="04A0"/>
      </w:tblPr>
      <w:tblGrid>
        <w:gridCol w:w="8912"/>
      </w:tblGrid>
      <w:tr w:rsidR="00FF0011" w:rsidRPr="00FC646E" w:rsidTr="00C11F32">
        <w:trPr>
          <w:trHeight w:val="3677"/>
          <w:jc w:val="center"/>
        </w:trPr>
        <w:tc>
          <w:tcPr>
            <w:tcW w:w="8912" w:type="dxa"/>
          </w:tcPr>
          <w:p w:rsidR="00FF0011" w:rsidRPr="00FC646E" w:rsidRDefault="003A6134" w:rsidP="0046668C">
            <w:pPr>
              <w:jc w:val="center"/>
              <w:rPr>
                <w:sz w:val="28"/>
                <w:szCs w:val="28"/>
              </w:rPr>
            </w:pPr>
            <w:r w:rsidRPr="00FC646E">
              <w:rPr>
                <w:noProof/>
                <w:sz w:val="28"/>
                <w:szCs w:val="28"/>
              </w:rPr>
              <w:drawing>
                <wp:inline distT="0" distB="0" distL="0" distR="0">
                  <wp:extent cx="4827373" cy="2141838"/>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FE22DD">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FE22DD" w:rsidRPr="00FE22DD">
        <w:rPr>
          <w:sz w:val="18"/>
          <w:szCs w:val="14"/>
        </w:rPr>
        <w:t>Independent Room</w:t>
      </w:r>
      <w:r w:rsidR="00DB0852" w:rsidRPr="00810186">
        <w:rPr>
          <w:sz w:val="18"/>
          <w:szCs w:val="14"/>
        </w:rPr>
        <w:t xml:space="preserve">, </w:t>
      </w:r>
      <w:r w:rsidR="000D48DA">
        <w:rPr>
          <w:sz w:val="18"/>
          <w:szCs w:val="14"/>
        </w:rPr>
        <w:t xml:space="preserve">Tent, </w:t>
      </w:r>
      <w:r w:rsidR="00BC100F">
        <w:rPr>
          <w:sz w:val="18"/>
          <w:szCs w:val="14"/>
        </w:rPr>
        <w:t>Marginal\Caravan\</w:t>
      </w:r>
      <w:r w:rsidR="006563C8" w:rsidRPr="00810186">
        <w:rPr>
          <w:sz w:val="18"/>
          <w:szCs w:val="14"/>
        </w:rPr>
        <w:t>Barracks and</w:t>
      </w:r>
      <w:r w:rsidR="00685427" w:rsidRPr="00810186">
        <w:rPr>
          <w:sz w:val="18"/>
          <w:szCs w:val="14"/>
        </w:rPr>
        <w:t xml:space="preserve"> </w:t>
      </w:r>
      <w:r w:rsidR="00DB0852" w:rsidRPr="00810186">
        <w:rPr>
          <w:sz w:val="18"/>
          <w:szCs w:val="14"/>
        </w:rPr>
        <w:t>Other</w:t>
      </w:r>
      <w:r w:rsidR="00BC100F">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972001" w:rsidP="00BC100F">
            <w:pPr>
              <w:tabs>
                <w:tab w:val="num" w:pos="624"/>
              </w:tabs>
              <w:ind w:right="140"/>
              <w:jc w:val="center"/>
              <w:rPr>
                <w:b/>
                <w:bCs/>
              </w:rPr>
            </w:pPr>
            <w:r>
              <w:rPr>
                <w:b/>
                <w:bCs/>
              </w:rPr>
              <w:t>89</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BC100F">
              <w:rPr>
                <w:b/>
                <w:bCs/>
              </w:rPr>
              <w:t>wned by</w:t>
            </w:r>
            <w:r w:rsidR="00F67B3E" w:rsidRPr="00F67B3E">
              <w:rPr>
                <w:b/>
                <w:bCs/>
              </w:rPr>
              <w:t xml:space="preserve">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BC100F">
      <w:pPr>
        <w:jc w:val="both"/>
      </w:pPr>
      <w:r>
        <w:t>The Census finding show</w:t>
      </w:r>
      <w:r w:rsidR="00852CA0">
        <w:t>ed</w:t>
      </w:r>
      <w:r w:rsidR="00BC100F">
        <w:t xml:space="preserve"> that </w:t>
      </w:r>
      <w:r w:rsidR="00972001" w:rsidRPr="00972001">
        <w:t>121,047</w:t>
      </w:r>
      <w:r w:rsidR="00972001">
        <w:rPr>
          <w:rFonts w:hint="cs"/>
          <w:rtl/>
        </w:rPr>
        <w:t xml:space="preserve"> </w:t>
      </w:r>
      <w:r>
        <w:t>of the occupied housing units in</w:t>
      </w:r>
      <w:r w:rsidR="00BC100F">
        <w:t xml:space="preserve"> </w:t>
      </w:r>
      <w:r w:rsidR="0063262C">
        <w:t>Hebron</w:t>
      </w:r>
      <w:r w:rsidR="008214EF">
        <w:t xml:space="preserve"> </w:t>
      </w:r>
      <w:r w:rsidR="00F81AAB">
        <w:t>Governorate</w:t>
      </w:r>
      <w:r>
        <w:t xml:space="preserve"> are owned by one of the household’s members. This constitutes </w:t>
      </w:r>
      <w:r w:rsidR="00972001" w:rsidRPr="00972001">
        <w:t>89.3</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972001" w:rsidRPr="00972001">
        <w:t>5.1</w:t>
      </w:r>
      <w:r>
        <w:t xml:space="preserve">% or </w:t>
      </w:r>
      <w:r w:rsidR="00972001" w:rsidRPr="00972001">
        <w:t>7,016</w:t>
      </w:r>
      <w:r w:rsidR="00972001">
        <w:t xml:space="preserve"> </w:t>
      </w:r>
      <w:r>
        <w:t xml:space="preserve">of the occupied housing units. </w:t>
      </w:r>
      <w:r w:rsidR="00C26CAF" w:rsidRPr="003B41C5">
        <w:t>(see table 2</w:t>
      </w:r>
      <w:r w:rsidR="00072B99" w:rsidRPr="003B41C5">
        <w:t>5</w:t>
      </w:r>
      <w:r w:rsidR="00C26CAF" w:rsidRPr="003B41C5">
        <w:t>).</w:t>
      </w:r>
    </w:p>
    <w:p w:rsidR="00A55D22" w:rsidRDefault="00A55D22" w:rsidP="009B7F13">
      <w:pPr>
        <w:jc w:val="both"/>
      </w:pPr>
    </w:p>
    <w:p w:rsidR="00455935" w:rsidRPr="009B7F13" w:rsidRDefault="00455935" w:rsidP="003B41C5">
      <w:pPr>
        <w:pStyle w:val="Heading3"/>
        <w:rPr>
          <w:rFonts w:ascii="Arial" w:hAnsi="Arial" w:cs="Arial"/>
          <w:sz w:val="24"/>
          <w:szCs w:val="24"/>
        </w:rPr>
      </w:pPr>
    </w:p>
    <w:p w:rsidR="00806387" w:rsidRDefault="001F639A" w:rsidP="003B41C5">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63262C">
        <w:rPr>
          <w:rFonts w:ascii="Arial" w:hAnsi="Arial" w:cs="Arial"/>
          <w:sz w:val="22"/>
          <w:szCs w:val="22"/>
        </w:rPr>
        <w:t>Hebron</w:t>
      </w:r>
      <w:r w:rsidR="008214EF">
        <w:rPr>
          <w:rFonts w:ascii="Arial" w:hAnsi="Arial" w:cs="Arial"/>
          <w:sz w:val="22"/>
          <w:szCs w:val="22"/>
        </w:rPr>
        <w:t xml:space="preserve"> </w:t>
      </w:r>
      <w:r w:rsidR="006217D1">
        <w:rPr>
          <w:rFonts w:ascii="Arial" w:hAnsi="Arial" w:cs="Arial"/>
          <w:sz w:val="22"/>
          <w:szCs w:val="22"/>
        </w:rPr>
        <w:t xml:space="preserve">Governorate </w:t>
      </w:r>
      <w:r w:rsidR="00D16EF6">
        <w:rPr>
          <w:rFonts w:ascii="Arial" w:hAnsi="Arial" w:cs="Arial"/>
          <w:sz w:val="22"/>
          <w:szCs w:val="22"/>
        </w:rPr>
        <w:t>by</w:t>
      </w:r>
      <w:r w:rsidR="003B41C5">
        <w:rPr>
          <w:rFonts w:ascii="Arial" w:hAnsi="Arial" w:cs="Arial"/>
          <w:sz w:val="22"/>
          <w:szCs w:val="22"/>
        </w:rPr>
        <w:t xml:space="preserve"> </w:t>
      </w:r>
      <w:r>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506"/>
      </w:tblGrid>
      <w:tr w:rsidR="00545BF5" w:rsidRPr="00545BF5" w:rsidTr="001F639A">
        <w:trPr>
          <w:trHeight w:val="2220"/>
          <w:jc w:val="center"/>
        </w:trPr>
        <w:tc>
          <w:tcPr>
            <w:tcW w:w="8506" w:type="dxa"/>
          </w:tcPr>
          <w:p w:rsidR="00545BF5" w:rsidRPr="00545BF5" w:rsidRDefault="00545BF5" w:rsidP="00751296">
            <w:pPr>
              <w:jc w:val="both"/>
            </w:pPr>
            <w:r w:rsidRPr="00545BF5">
              <w:rPr>
                <w:noProof/>
              </w:rPr>
              <w:drawing>
                <wp:inline distT="0" distB="0" distL="0" distR="0">
                  <wp:extent cx="5329882" cy="2529016"/>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B919F2" w:rsidP="00162006">
            <w:pPr>
              <w:tabs>
                <w:tab w:val="num" w:pos="624"/>
              </w:tabs>
              <w:ind w:right="140"/>
              <w:jc w:val="center"/>
              <w:rPr>
                <w:b/>
                <w:bCs/>
                <w:rtl/>
              </w:rPr>
            </w:pPr>
            <w:r>
              <w:rPr>
                <w:b/>
                <w:bCs/>
              </w:rPr>
              <w:t xml:space="preserve">The </w:t>
            </w:r>
            <w:r w:rsidR="005604CD" w:rsidRPr="005604CD">
              <w:rPr>
                <w:b/>
                <w:bCs/>
              </w:rPr>
              <w:t>Rural</w:t>
            </w:r>
            <w:r w:rsidR="005604CD">
              <w:rPr>
                <w:b/>
                <w:bCs/>
              </w:rPr>
              <w:t xml:space="preserve"> </w:t>
            </w:r>
            <w:r w:rsidR="00162006">
              <w:rPr>
                <w:b/>
                <w:bCs/>
              </w:rPr>
              <w:t>have</w:t>
            </w:r>
            <w:r w:rsidR="004C06F2">
              <w:rPr>
                <w:b/>
                <w:bCs/>
              </w:rPr>
              <w:t xml:space="preserve"> the Highest Housing Density</w:t>
            </w:r>
          </w:p>
        </w:tc>
      </w:tr>
    </w:tbl>
    <w:p w:rsidR="004C06F2" w:rsidRDefault="004C06F2" w:rsidP="004C06F2">
      <w:pPr>
        <w:jc w:val="center"/>
      </w:pPr>
    </w:p>
    <w:p w:rsidR="004C06F2" w:rsidRDefault="004C06F2" w:rsidP="00162006">
      <w:pPr>
        <w:jc w:val="both"/>
        <w:rPr>
          <w:rFonts w:asciiTheme="majorBidi" w:hAnsiTheme="majorBidi" w:cstheme="majorBidi"/>
        </w:rPr>
      </w:pPr>
      <w:r>
        <w:t>Average housing density (number of persons per room) in</w:t>
      </w:r>
      <w:r w:rsidR="000369D9">
        <w:t xml:space="preserve"> </w:t>
      </w:r>
      <w:r w:rsidR="0063262C">
        <w:t>Hebron</w:t>
      </w:r>
      <w:r w:rsidR="001760E8">
        <w:t xml:space="preserve"> </w:t>
      </w:r>
      <w:r w:rsidR="00A85FC9">
        <w:t>Governorate</w:t>
      </w:r>
      <w:r w:rsidR="00162006">
        <w:t>,</w:t>
      </w:r>
      <w:r w:rsidR="005179EA">
        <w:t xml:space="preserve"> urban </w:t>
      </w:r>
      <w:r w:rsidR="009E6EED">
        <w:t xml:space="preserve">and camps </w:t>
      </w:r>
      <w:r w:rsidR="00A94AA0">
        <w:t>are</w:t>
      </w:r>
      <w:r w:rsidR="00093115">
        <w:t xml:space="preserve"> </w:t>
      </w:r>
      <w:r w:rsidR="008A3423">
        <w:t>1.</w:t>
      </w:r>
      <w:r w:rsidR="009E6EED">
        <w:t>5</w:t>
      </w:r>
      <w:r>
        <w:rPr>
          <w:rFonts w:hint="cs"/>
          <w:rtl/>
        </w:rPr>
        <w:t xml:space="preserve"> </w:t>
      </w:r>
      <w:r>
        <w:t>person per room</w:t>
      </w:r>
      <w:r w:rsidR="000304CD">
        <w:t xml:space="preserve">, </w:t>
      </w:r>
      <w:r w:rsidR="002D74B3">
        <w:t xml:space="preserve"> and </w:t>
      </w:r>
      <w:r w:rsidR="005179EA">
        <w:t>1.</w:t>
      </w:r>
      <w:r w:rsidR="009E6EED">
        <w:t>7</w:t>
      </w:r>
      <w:r w:rsidR="002D74B3" w:rsidRPr="002D74B3">
        <w:t xml:space="preserve"> </w:t>
      </w:r>
      <w:r w:rsidR="002D74B3">
        <w:t xml:space="preserve">person per room </w:t>
      </w:r>
      <w:r w:rsidR="001760E8">
        <w:t xml:space="preserve">in </w:t>
      </w:r>
      <w:r w:rsidR="009E6EED">
        <w:t>rural</w:t>
      </w:r>
      <w:r w:rsidR="000304CD">
        <w:t>.</w:t>
      </w:r>
      <w:r>
        <w:t xml:space="preserve">  The results also</w:t>
      </w:r>
      <w:r w:rsidR="00FB32CD">
        <w:t xml:space="preserve"> indicate</w:t>
      </w:r>
      <w:r w:rsidR="000304CD">
        <w:t>d</w:t>
      </w:r>
      <w:r>
        <w:t xml:space="preserve"> that </w:t>
      </w:r>
      <w:r w:rsidR="009E6EED">
        <w:t>7.9</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9E6EED">
        <w:t>7.2</w:t>
      </w:r>
      <w:r>
        <w:t xml:space="preserve">% in </w:t>
      </w:r>
      <w:r w:rsidR="0035261A">
        <w:t>u</w:t>
      </w:r>
      <w:r>
        <w:t>rban</w:t>
      </w:r>
      <w:r w:rsidR="00770A68">
        <w:t xml:space="preserve"> compared to </w:t>
      </w:r>
      <w:r w:rsidR="009E6EED">
        <w:t>13.4</w:t>
      </w:r>
      <w:r>
        <w:t xml:space="preserve">% </w:t>
      </w:r>
      <w:r w:rsidR="00770A68">
        <w:t xml:space="preserve"> in </w:t>
      </w:r>
      <w:r w:rsidR="0035261A">
        <w:t>r</w:t>
      </w:r>
      <w:r>
        <w:t xml:space="preserve">ural, </w:t>
      </w:r>
      <w:r w:rsidR="00770A68">
        <w:t>and</w:t>
      </w:r>
      <w:r w:rsidR="003266F9">
        <w:t xml:space="preserve"> </w:t>
      </w:r>
      <w:r w:rsidR="00E5126F">
        <w:t>5.</w:t>
      </w:r>
      <w:r w:rsidR="009E6EED">
        <w:t>2</w:t>
      </w:r>
      <w:r w:rsidR="00770A68">
        <w:t>%</w:t>
      </w:r>
      <w:r w:rsidR="003266F9">
        <w:t xml:space="preserve"> in </w:t>
      </w:r>
      <w:r w:rsidR="0035261A">
        <w:t>c</w:t>
      </w:r>
      <w:r w:rsidR="003266F9">
        <w:t>amps</w:t>
      </w:r>
      <w:r w:rsidR="00162006">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565F7C" w:rsidRDefault="00565F7C" w:rsidP="00E5126F">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1D7334" w:rsidP="00BF0B07">
            <w:pPr>
              <w:tabs>
                <w:tab w:val="num" w:pos="624"/>
              </w:tabs>
              <w:ind w:right="140"/>
              <w:jc w:val="center"/>
              <w:rPr>
                <w:b/>
                <w:bCs/>
                <w:rtl/>
              </w:rPr>
            </w:pPr>
            <w:r>
              <w:rPr>
                <w:b/>
                <w:bCs/>
              </w:rPr>
              <w:t>89</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1D7334">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1D7334" w:rsidRPr="001D7334">
        <w:t>109,231</w:t>
      </w:r>
      <w:r w:rsidR="001D7334">
        <w:t xml:space="preserve"> </w:t>
      </w:r>
      <w:r>
        <w:t xml:space="preserve">households; </w:t>
      </w:r>
      <w:r w:rsidR="00C04021">
        <w:t xml:space="preserve"> distributed in urban, rural and camps respectively as follows </w:t>
      </w:r>
      <w:r w:rsidR="001D7334" w:rsidRPr="001D7334">
        <w:t>95,618</w:t>
      </w:r>
      <w:r w:rsidR="008A3423">
        <w:t>,</w:t>
      </w:r>
      <w:r w:rsidRPr="00D02E92">
        <w:t xml:space="preserve"> </w:t>
      </w:r>
      <w:r w:rsidR="001D7334" w:rsidRPr="001D7334">
        <w:t>10,410</w:t>
      </w:r>
      <w:r w:rsidR="001D7334">
        <w:t xml:space="preserve"> </w:t>
      </w:r>
      <w:r w:rsidR="00030D42">
        <w:t xml:space="preserve">and </w:t>
      </w:r>
      <w:r w:rsidR="001D7334" w:rsidRPr="001D7334">
        <w:t>3,203</w:t>
      </w:r>
      <w:r w:rsidR="0035261A">
        <w:t xml:space="preserve">.  </w:t>
      </w:r>
      <w:r w:rsidR="009F0ABF" w:rsidRPr="00A856A0">
        <w:t>(see table</w:t>
      </w:r>
      <w:r w:rsidR="009F0ABF">
        <w:t xml:space="preserve"> </w:t>
      </w:r>
      <w:r w:rsidR="009F0ABF" w:rsidRPr="00A856A0">
        <w:t>7)</w:t>
      </w:r>
      <w:r w:rsidR="00030D42" w:rsidRPr="00A856A0">
        <w:t>.</w:t>
      </w:r>
    </w:p>
    <w:p w:rsidR="001D7334" w:rsidRDefault="001D7334" w:rsidP="001D7334">
      <w:pPr>
        <w:jc w:val="both"/>
      </w:pPr>
    </w:p>
    <w:p w:rsidR="00D50FFB" w:rsidRDefault="00C31E55" w:rsidP="00C31E55">
      <w:pPr>
        <w:jc w:val="both"/>
      </w:pPr>
      <w:r w:rsidRPr="00C31E55">
        <w:t>88.5</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rsidRPr="00C31E55">
        <w:t>89.5</w:t>
      </w:r>
      <w:r w:rsidR="00D52EC0" w:rsidRPr="00D02E92">
        <w:t xml:space="preserve">% in </w:t>
      </w:r>
      <w:r w:rsidR="00344611">
        <w:t>u</w:t>
      </w:r>
      <w:r w:rsidR="00D52EC0">
        <w:t>rban</w:t>
      </w:r>
      <w:r>
        <w:t>,</w:t>
      </w:r>
      <w:r w:rsidR="00D52EC0">
        <w:t xml:space="preserve"> </w:t>
      </w:r>
      <w:r>
        <w:t xml:space="preserve"> </w:t>
      </w:r>
      <w:r w:rsidR="00D52EC0">
        <w:t>and</w:t>
      </w:r>
      <w:r w:rsidR="00A97E01">
        <w:t xml:space="preserve"> </w:t>
      </w:r>
      <w:r w:rsidRPr="00C31E55">
        <w:t>79.5</w:t>
      </w:r>
      <w:r>
        <w:t>%</w:t>
      </w:r>
      <w:r w:rsidR="00A97E01">
        <w:t xml:space="preserve"> in</w:t>
      </w:r>
      <w:r w:rsidR="00D52EC0" w:rsidRPr="00D02E92">
        <w:t xml:space="preserve"> </w:t>
      </w:r>
      <w:r w:rsidR="00344611">
        <w:t>r</w:t>
      </w:r>
      <w:r w:rsidR="00D52EC0">
        <w:t xml:space="preserve">ural, compared to </w:t>
      </w:r>
      <w:r w:rsidRPr="00C31E55">
        <w:t>99.2</w:t>
      </w:r>
      <w:r w:rsidR="00D52EC0">
        <w:t xml:space="preserve">% in </w:t>
      </w:r>
      <w:r w:rsidR="00344611">
        <w:t>c</w:t>
      </w:r>
      <w:r w:rsidR="00D52EC0">
        <w:t>amps</w:t>
      </w:r>
      <w:r w:rsidR="007A658A">
        <w:t>.</w:t>
      </w:r>
      <w:r w:rsidR="00C42288">
        <w:t xml:space="preserve"> </w:t>
      </w:r>
      <w:r w:rsidR="00687D47" w:rsidRPr="00A856A0">
        <w:t xml:space="preserve">(see table </w:t>
      </w:r>
      <w:r w:rsidR="00E44301" w:rsidRPr="00A856A0">
        <w:t>6</w:t>
      </w:r>
      <w:r w:rsidR="00521A4E" w:rsidRPr="00A856A0">
        <w:t>)</w:t>
      </w:r>
      <w:r w:rsidR="0035261A">
        <w:t>.</w:t>
      </w:r>
    </w:p>
    <w:p w:rsidR="00C31E55" w:rsidRDefault="00C31E55" w:rsidP="00D50FFB">
      <w:pPr>
        <w:jc w:val="center"/>
      </w:pPr>
    </w:p>
    <w:p w:rsidR="00805FB8" w:rsidRPr="00F319BD" w:rsidRDefault="00162006" w:rsidP="00D50FFB">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63262C">
        <w:rPr>
          <w:rFonts w:ascii="Arial" w:hAnsi="Arial" w:cs="Arial"/>
          <w:b/>
          <w:bCs/>
          <w:sz w:val="22"/>
          <w:szCs w:val="22"/>
        </w:rPr>
        <w:t>Hebron</w:t>
      </w:r>
      <w:r w:rsidR="000370F6">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Pr>
          <w:rFonts w:ascii="Arial" w:hAnsi="Arial" w:cs="Arial"/>
          <w:b/>
          <w:bCs/>
          <w:sz w:val="22"/>
          <w:szCs w:val="22"/>
        </w:rPr>
        <w:t xml:space="preserve">           </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378" w:type="dxa"/>
        <w:tblLook w:val="04A0"/>
      </w:tblPr>
      <w:tblGrid>
        <w:gridCol w:w="5851"/>
        <w:gridCol w:w="2694"/>
      </w:tblGrid>
      <w:tr w:rsidR="003A6526" w:rsidRPr="00810186" w:rsidTr="00162006">
        <w:trPr>
          <w:trHeight w:val="340"/>
          <w:jc w:val="center"/>
        </w:trPr>
        <w:tc>
          <w:tcPr>
            <w:tcW w:w="5851"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800C9B" w:rsidRPr="00810186" w:rsidTr="00162006">
        <w:trPr>
          <w:trHeight w:val="340"/>
          <w:jc w:val="center"/>
        </w:trPr>
        <w:tc>
          <w:tcPr>
            <w:tcW w:w="5851" w:type="dxa"/>
            <w:tcBorders>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 xml:space="preserve">Piped Into Dwelling </w:t>
            </w:r>
          </w:p>
        </w:tc>
        <w:tc>
          <w:tcPr>
            <w:tcW w:w="2694" w:type="dxa"/>
            <w:tcBorders>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109,231</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Tanker Truck/Cart With Small Tank</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15,294</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Rainwater</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6,261</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Protected Dug well/Protected Spring</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4,277</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Bottled Water</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237</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Unprotected Dug well/Unprotected Spring</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220</w:t>
            </w:r>
          </w:p>
        </w:tc>
      </w:tr>
      <w:tr w:rsidR="00800C9B" w:rsidRPr="00810186" w:rsidTr="00162006">
        <w:trPr>
          <w:trHeight w:val="340"/>
          <w:jc w:val="center"/>
        </w:trPr>
        <w:tc>
          <w:tcPr>
            <w:tcW w:w="5851" w:type="dxa"/>
            <w:tcBorders>
              <w:top w:val="nil"/>
              <w:bottom w:val="nil"/>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Public Tap</w:t>
            </w:r>
          </w:p>
        </w:tc>
        <w:tc>
          <w:tcPr>
            <w:tcW w:w="2694" w:type="dxa"/>
            <w:tcBorders>
              <w:top w:val="nil"/>
              <w:bottom w:val="nil"/>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40</w:t>
            </w:r>
          </w:p>
        </w:tc>
      </w:tr>
      <w:tr w:rsidR="00800C9B" w:rsidRPr="00810186" w:rsidTr="00162006">
        <w:trPr>
          <w:trHeight w:val="340"/>
          <w:jc w:val="center"/>
        </w:trPr>
        <w:tc>
          <w:tcPr>
            <w:tcW w:w="5851" w:type="dxa"/>
            <w:tcBorders>
              <w:top w:val="nil"/>
              <w:bottom w:val="single" w:sz="4" w:space="0" w:color="auto"/>
            </w:tcBorders>
            <w:shd w:val="clear" w:color="auto" w:fill="FFFFFF" w:themeFill="background1"/>
          </w:tcPr>
          <w:p w:rsidR="00800C9B" w:rsidRDefault="00800C9B" w:rsidP="00800C9B">
            <w:pPr>
              <w:rPr>
                <w:rFonts w:ascii="Arial" w:hAnsi="Arial" w:cs="Arial"/>
                <w:sz w:val="16"/>
                <w:szCs w:val="16"/>
              </w:rPr>
            </w:pPr>
            <w:r>
              <w:rPr>
                <w:rFonts w:ascii="Arial" w:hAnsi="Arial" w:cs="Arial"/>
                <w:sz w:val="16"/>
                <w:szCs w:val="16"/>
              </w:rPr>
              <w:t>Others</w:t>
            </w:r>
          </w:p>
        </w:tc>
        <w:tc>
          <w:tcPr>
            <w:tcW w:w="2694" w:type="dxa"/>
            <w:tcBorders>
              <w:top w:val="nil"/>
              <w:bottom w:val="single" w:sz="4" w:space="0" w:color="auto"/>
            </w:tcBorders>
            <w:vAlign w:val="center"/>
          </w:tcPr>
          <w:p w:rsidR="00800C9B" w:rsidRPr="00800C9B" w:rsidRDefault="00800C9B" w:rsidP="00800C9B">
            <w:pPr>
              <w:ind w:firstLineChars="100" w:firstLine="160"/>
              <w:jc w:val="center"/>
              <w:rPr>
                <w:rFonts w:ascii="Arial" w:hAnsi="Arial" w:cs="Arial"/>
                <w:color w:val="000000"/>
                <w:sz w:val="16"/>
                <w:szCs w:val="16"/>
              </w:rPr>
            </w:pPr>
            <w:r w:rsidRPr="00800C9B">
              <w:rPr>
                <w:rFonts w:ascii="Arial" w:hAnsi="Arial" w:cs="Arial"/>
                <w:color w:val="000000"/>
                <w:sz w:val="16"/>
                <w:szCs w:val="16"/>
              </w:rPr>
              <w:t>27</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8B15F4">
      <w:pPr>
        <w:jc w:val="both"/>
      </w:pPr>
      <w:r>
        <w:t>The Census findings showed that the majority of the occupied housing units in</w:t>
      </w:r>
      <w:r w:rsidR="00290A16">
        <w:t xml:space="preserve"> </w:t>
      </w:r>
      <w:r w:rsidR="0063262C">
        <w:t>Hebron</w:t>
      </w:r>
      <w:r w:rsidR="007216C6">
        <w:t xml:space="preserve"> </w:t>
      </w:r>
      <w:r w:rsidR="000670D1">
        <w:t xml:space="preserve"> </w:t>
      </w:r>
      <w:r w:rsidR="00A85FC9">
        <w:t>Governorate</w:t>
      </w:r>
      <w:r>
        <w:t xml:space="preserve"> is supplied with electricity from the electricity network at</w:t>
      </w:r>
      <w:r w:rsidR="000670D1">
        <w:t xml:space="preserve"> </w:t>
      </w:r>
      <w:r w:rsidR="00437175">
        <w:t>99.5</w:t>
      </w:r>
      <w:r>
        <w:t xml:space="preserve">% of the occupied housing units totaling </w:t>
      </w:r>
      <w:r w:rsidR="006A3881" w:rsidRPr="006A3881">
        <w:t>134,902</w:t>
      </w:r>
      <w:r w:rsidR="006A3881">
        <w:rPr>
          <w:rFonts w:hint="cs"/>
          <w:rtl/>
        </w:rPr>
        <w:t xml:space="preserve"> </w:t>
      </w:r>
      <w:r>
        <w:t xml:space="preserve">housing unit. The housing units using electricity generators is </w:t>
      </w:r>
      <w:r w:rsidR="006A3881">
        <w:t>640</w:t>
      </w:r>
      <w:r>
        <w:t xml:space="preserve"> housing unit. On the other hand</w:t>
      </w:r>
      <w:r w:rsidR="008B15F4">
        <w:t xml:space="preserve"> </w:t>
      </w:r>
      <w:r w:rsidR="006A3881">
        <w:t>45</w:t>
      </w:r>
      <w:r w:rsidR="008B15F4">
        <w:t xml:space="preserve"> </w:t>
      </w:r>
      <w:r>
        <w:t>occupied housing units are not connected to the electricity network.</w:t>
      </w:r>
      <w:r w:rsidRPr="00E06434">
        <w:t xml:space="preserve"> (see table </w:t>
      </w:r>
      <w:r w:rsidR="008E4E18" w:rsidRPr="00E06434">
        <w:t>9</w:t>
      </w:r>
      <w:r w:rsidRPr="00E06434">
        <w:t>)</w:t>
      </w:r>
      <w:r w:rsidR="00884D80">
        <w:t>.</w:t>
      </w:r>
    </w:p>
    <w:p w:rsidR="00E732DC" w:rsidRDefault="00E732DC"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8B15F4">
      <w:pPr>
        <w:jc w:val="both"/>
      </w:pPr>
      <w:r>
        <w:t>Findings showed that the percentage of occupied housing units in</w:t>
      </w:r>
      <w:r w:rsidR="00290A16">
        <w:t xml:space="preserve"> </w:t>
      </w:r>
      <w:r w:rsidR="0063262C">
        <w:t>Hebron</w:t>
      </w:r>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system </w:t>
      </w:r>
      <w:r w:rsidR="0090777C">
        <w:t xml:space="preserve">is </w:t>
      </w:r>
      <w:r w:rsidR="00AF05CB" w:rsidRPr="00AF05CB">
        <w:t>28.7</w:t>
      </w:r>
      <w:r w:rsidR="0090777C">
        <w:t>%</w:t>
      </w:r>
      <w:r>
        <w:t>.</w:t>
      </w:r>
      <w:r w:rsidR="007A658A">
        <w:t xml:space="preserve"> </w:t>
      </w:r>
      <w:r>
        <w:t xml:space="preserve">The percentage of occupied housing units which connected </w:t>
      </w:r>
      <w:r w:rsidRPr="00AD5C2D">
        <w:t xml:space="preserve">to </w:t>
      </w:r>
      <w:proofErr w:type="spellStart"/>
      <w:r w:rsidR="008B15F4">
        <w:t>septik</w:t>
      </w:r>
      <w:proofErr w:type="spellEnd"/>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AF05CB" w:rsidRPr="00AF05CB">
        <w:t>71.1</w:t>
      </w:r>
      <w:r w:rsidR="0090777C">
        <w:t>%</w:t>
      </w:r>
      <w:r w:rsidR="00C318C6">
        <w:t xml:space="preserve"> </w:t>
      </w:r>
      <w:r>
        <w:t xml:space="preserve">and the percentage of occupied </w:t>
      </w:r>
      <w:r>
        <w:lastRenderedPageBreak/>
        <w:t>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AF05CB">
        <w:t>0.2</w:t>
      </w:r>
      <w:r w:rsidRPr="00AD5C2D">
        <w:t>%.</w:t>
      </w:r>
      <w:r>
        <w:t xml:space="preserve"> </w:t>
      </w:r>
      <w:r w:rsidRPr="00405BEA">
        <w:t>(see table 11)</w:t>
      </w:r>
      <w:r w:rsidR="00344611" w:rsidRPr="00405BEA">
        <w:t>.</w:t>
      </w:r>
    </w:p>
    <w:p w:rsidR="008B15F4" w:rsidRDefault="008B15F4" w:rsidP="008B15F4">
      <w:pPr>
        <w:jc w:val="both"/>
      </w:pPr>
    </w:p>
    <w:p w:rsidR="00AE6CC1" w:rsidRDefault="00AF05CB" w:rsidP="00AF05CB">
      <w:pPr>
        <w:bidi/>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63262C">
        <w:rPr>
          <w:rFonts w:ascii="Arial" w:hAnsi="Arial" w:cs="Arial"/>
          <w:b/>
          <w:bCs/>
          <w:sz w:val="22"/>
          <w:szCs w:val="22"/>
        </w:rPr>
        <w:t>Hebron</w:t>
      </w:r>
      <w:r w:rsidR="000370F6">
        <w:rPr>
          <w:rFonts w:ascii="Arial" w:hAnsi="Arial" w:cs="Arial"/>
          <w:b/>
          <w:bCs/>
          <w:sz w:val="22"/>
          <w:szCs w:val="22"/>
        </w:rPr>
        <w:t xml:space="preserve"> </w:t>
      </w:r>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Pr>
          <w:rFonts w:ascii="Arial" w:hAnsi="Arial" w:cs="Arial"/>
          <w:b/>
          <w:bCs/>
          <w:sz w:val="22"/>
          <w:szCs w:val="22"/>
        </w:rPr>
        <w:t xml:space="preserve"> </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4B658B">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1B27DC" w:rsidRPr="001B27DC">
              <w:rPr>
                <w:b/>
                <w:bCs/>
              </w:rPr>
              <w:t>Rural</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w:t>
      </w:r>
      <w:r w:rsidR="0063262C">
        <w:t>Hebron</w:t>
      </w:r>
      <w:r w:rsidR="000370F6">
        <w:t xml:space="preserve"> </w:t>
      </w:r>
      <w:r w:rsidR="00C17994">
        <w:t xml:space="preserve"> </w:t>
      </w:r>
      <w:r w:rsidR="006D10C7">
        <w:t>Governorate</w:t>
      </w:r>
      <w:r w:rsidR="00D67F80">
        <w:t>.</w:t>
      </w:r>
    </w:p>
    <w:p w:rsidR="00805FB8" w:rsidRDefault="00805FB8" w:rsidP="00805FB8">
      <w:pPr>
        <w:jc w:val="both"/>
      </w:pPr>
    </w:p>
    <w:p w:rsidR="002238EC" w:rsidRDefault="00D67F80" w:rsidP="008B15F4">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456436">
        <w:t>31.1</w:t>
      </w:r>
      <w:r w:rsidR="002238EC" w:rsidRPr="003A3CDE">
        <w:t xml:space="preserve">% of </w:t>
      </w:r>
      <w:r w:rsidR="005953F5">
        <w:t>households in</w:t>
      </w:r>
      <w:r w:rsidR="00290A16">
        <w:t xml:space="preserve"> </w:t>
      </w:r>
      <w:r w:rsidR="0063262C">
        <w:t>Hebron</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456436">
        <w:t>32.3</w:t>
      </w:r>
      <w:r w:rsidR="002238EC">
        <w:t xml:space="preserve">%,  </w:t>
      </w:r>
      <w:r w:rsidR="00456436">
        <w:t>25.3</w:t>
      </w:r>
      <w:r w:rsidR="002238EC">
        <w:t xml:space="preserve">% and </w:t>
      </w:r>
      <w:r w:rsidR="00456436">
        <w:t>19.7</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456436">
        <w:t>72.7</w:t>
      </w:r>
      <w:r w:rsidR="002238EC">
        <w:t xml:space="preserve">%, of households have such goods, of which </w:t>
      </w:r>
      <w:r w:rsidR="00456436">
        <w:t>74.6</w:t>
      </w:r>
      <w:r w:rsidR="002238EC">
        <w:t xml:space="preserve">%, </w:t>
      </w:r>
      <w:r w:rsidR="00456436">
        <w:t>58.0</w:t>
      </w:r>
      <w:r w:rsidR="002238EC">
        <w:t xml:space="preserve">%, and </w:t>
      </w:r>
      <w:r w:rsidR="00456436">
        <w:t>77.4</w:t>
      </w:r>
      <w:r w:rsidR="002238EC">
        <w:t>%  in urban, rural and camps respectively.</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0A3" w:rsidRDefault="00CB70A3">
      <w:r>
        <w:separator/>
      </w:r>
    </w:p>
  </w:endnote>
  <w:endnote w:type="continuationSeparator" w:id="0">
    <w:p w:rsidR="00CB70A3" w:rsidRDefault="00CB7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502A6B" w:rsidRDefault="00502A6B" w:rsidP="001640DB">
        <w:pPr>
          <w:pStyle w:val="Footer"/>
          <w:jc w:val="center"/>
          <w:rPr>
            <w:sz w:val="20"/>
            <w:szCs w:val="20"/>
          </w:rPr>
        </w:pPr>
      </w:p>
      <w:p w:rsidR="00502A6B" w:rsidRDefault="00502A6B" w:rsidP="001640DB">
        <w:pPr>
          <w:pStyle w:val="Footer"/>
          <w:jc w:val="center"/>
          <w:rPr>
            <w:sz w:val="20"/>
            <w:szCs w:val="20"/>
          </w:rPr>
        </w:pPr>
      </w:p>
      <w:p w:rsidR="00502A6B" w:rsidRPr="00494B47" w:rsidRDefault="00502A6B" w:rsidP="001640DB">
        <w:pPr>
          <w:pStyle w:val="Footer"/>
          <w:jc w:val="center"/>
          <w:rPr>
            <w:sz w:val="20"/>
            <w:szCs w:val="20"/>
          </w:rPr>
        </w:pPr>
        <w:r w:rsidRPr="00494B47">
          <w:rPr>
            <w:sz w:val="20"/>
            <w:szCs w:val="20"/>
          </w:rPr>
          <w:t>[</w:t>
        </w:r>
        <w:r w:rsidRPr="00494B47">
          <w:rPr>
            <w:sz w:val="20"/>
            <w:szCs w:val="20"/>
          </w:rPr>
          <w:fldChar w:fldCharType="begin"/>
        </w:r>
        <w:r w:rsidRPr="00494B47">
          <w:rPr>
            <w:sz w:val="20"/>
            <w:szCs w:val="20"/>
          </w:rPr>
          <w:instrText xml:space="preserve"> PAGE   \* MERGEFORMAT </w:instrText>
        </w:r>
        <w:r w:rsidRPr="00494B47">
          <w:rPr>
            <w:sz w:val="20"/>
            <w:szCs w:val="20"/>
          </w:rPr>
          <w:fldChar w:fldCharType="separate"/>
        </w:r>
        <w:r w:rsidR="00C11F32">
          <w:rPr>
            <w:noProof/>
            <w:sz w:val="20"/>
            <w:szCs w:val="20"/>
          </w:rPr>
          <w:t>28</w:t>
        </w:r>
        <w:r w:rsidRPr="00494B47">
          <w:rPr>
            <w:sz w:val="20"/>
            <w:szCs w:val="20"/>
          </w:rPr>
          <w:fldChar w:fldCharType="end"/>
        </w:r>
        <w:r w:rsidRPr="00494B47">
          <w:rPr>
            <w:sz w:val="20"/>
            <w:szCs w:val="20"/>
          </w:rPr>
          <w:t>]</w:t>
        </w:r>
        <w:r>
          <w:rPr>
            <w:sz w:val="20"/>
            <w:szCs w:val="20"/>
          </w:rPr>
          <w:t xml:space="preserve"> </w:t>
        </w:r>
      </w:p>
    </w:sdtContent>
  </w:sdt>
  <w:p w:rsidR="00502A6B" w:rsidRPr="00E661C7" w:rsidRDefault="00502A6B"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0A3" w:rsidRDefault="00CB70A3">
      <w:r>
        <w:separator/>
      </w:r>
    </w:p>
  </w:footnote>
  <w:footnote w:type="continuationSeparator" w:id="0">
    <w:p w:rsidR="00CB70A3" w:rsidRDefault="00CB7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A6B" w:rsidRPr="004F318E" w:rsidRDefault="00502A6B" w:rsidP="0014069C">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Hebron </w:t>
    </w:r>
    <w:r w:rsidRPr="0017019C">
      <w:rPr>
        <w:rFonts w:ascii="Arial" w:hAnsi="Arial" w:cs="Arial"/>
        <w:b w:val="0"/>
        <w:bCs w:val="0"/>
        <w:sz w:val="16"/>
        <w:szCs w:val="16"/>
      </w:rPr>
      <w:t>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9184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1613"/>
    <w:rsid w:val="000231A4"/>
    <w:rsid w:val="000233E4"/>
    <w:rsid w:val="00024401"/>
    <w:rsid w:val="00024706"/>
    <w:rsid w:val="000247EC"/>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2E59"/>
    <w:rsid w:val="000B3E50"/>
    <w:rsid w:val="000B43D0"/>
    <w:rsid w:val="000B660E"/>
    <w:rsid w:val="000B7612"/>
    <w:rsid w:val="000C023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069C"/>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2006"/>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4325"/>
    <w:rsid w:val="001B5342"/>
    <w:rsid w:val="001B5390"/>
    <w:rsid w:val="001B54BC"/>
    <w:rsid w:val="001B6819"/>
    <w:rsid w:val="001C01E1"/>
    <w:rsid w:val="001C0B04"/>
    <w:rsid w:val="001C16D6"/>
    <w:rsid w:val="001C2F8A"/>
    <w:rsid w:val="001C4FE4"/>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D7334"/>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5A46"/>
    <w:rsid w:val="001F639A"/>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17B47"/>
    <w:rsid w:val="00217E79"/>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4F9C"/>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77FA9"/>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2EB0"/>
    <w:rsid w:val="002D4065"/>
    <w:rsid w:val="002D4FA0"/>
    <w:rsid w:val="002D5411"/>
    <w:rsid w:val="002D646C"/>
    <w:rsid w:val="002D74B3"/>
    <w:rsid w:val="002D779B"/>
    <w:rsid w:val="002D7B90"/>
    <w:rsid w:val="002E0A39"/>
    <w:rsid w:val="002E2502"/>
    <w:rsid w:val="002E2C0F"/>
    <w:rsid w:val="002E5332"/>
    <w:rsid w:val="002E74CB"/>
    <w:rsid w:val="002F0BEC"/>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4676"/>
    <w:rsid w:val="003C507C"/>
    <w:rsid w:val="003C5B31"/>
    <w:rsid w:val="003C6F8E"/>
    <w:rsid w:val="003C7D34"/>
    <w:rsid w:val="003D0D5A"/>
    <w:rsid w:val="003D0DF3"/>
    <w:rsid w:val="003D0DFA"/>
    <w:rsid w:val="003D13B2"/>
    <w:rsid w:val="003D1D5F"/>
    <w:rsid w:val="003D2470"/>
    <w:rsid w:val="003D2CB6"/>
    <w:rsid w:val="003D3091"/>
    <w:rsid w:val="003D36F9"/>
    <w:rsid w:val="003D48D6"/>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5BEA"/>
    <w:rsid w:val="00407096"/>
    <w:rsid w:val="0041016D"/>
    <w:rsid w:val="00410C7C"/>
    <w:rsid w:val="00411767"/>
    <w:rsid w:val="00413313"/>
    <w:rsid w:val="004139C0"/>
    <w:rsid w:val="00413FD1"/>
    <w:rsid w:val="00415F5F"/>
    <w:rsid w:val="00416338"/>
    <w:rsid w:val="00417678"/>
    <w:rsid w:val="0042043A"/>
    <w:rsid w:val="00420A5D"/>
    <w:rsid w:val="00421421"/>
    <w:rsid w:val="00421D5E"/>
    <w:rsid w:val="004235AA"/>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35"/>
    <w:rsid w:val="004559E6"/>
    <w:rsid w:val="00456436"/>
    <w:rsid w:val="00456727"/>
    <w:rsid w:val="0045693D"/>
    <w:rsid w:val="00457742"/>
    <w:rsid w:val="0046248E"/>
    <w:rsid w:val="004624B2"/>
    <w:rsid w:val="00462525"/>
    <w:rsid w:val="00462719"/>
    <w:rsid w:val="00463356"/>
    <w:rsid w:val="004638EB"/>
    <w:rsid w:val="00463A7C"/>
    <w:rsid w:val="00463EFE"/>
    <w:rsid w:val="0046401D"/>
    <w:rsid w:val="00464A82"/>
    <w:rsid w:val="0046668C"/>
    <w:rsid w:val="00466F89"/>
    <w:rsid w:val="00467911"/>
    <w:rsid w:val="004708EF"/>
    <w:rsid w:val="004709A8"/>
    <w:rsid w:val="004714F6"/>
    <w:rsid w:val="00471748"/>
    <w:rsid w:val="004720A3"/>
    <w:rsid w:val="0047279F"/>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5D5E"/>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6B"/>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65B"/>
    <w:rsid w:val="005E1E81"/>
    <w:rsid w:val="005E21D2"/>
    <w:rsid w:val="005E2BFC"/>
    <w:rsid w:val="005E30BA"/>
    <w:rsid w:val="005E30C2"/>
    <w:rsid w:val="005E4421"/>
    <w:rsid w:val="005E4B74"/>
    <w:rsid w:val="005E5EF3"/>
    <w:rsid w:val="005E6F3D"/>
    <w:rsid w:val="005E7C67"/>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262C"/>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6844"/>
    <w:rsid w:val="00677B68"/>
    <w:rsid w:val="00681011"/>
    <w:rsid w:val="0068104B"/>
    <w:rsid w:val="00681B1C"/>
    <w:rsid w:val="00681BDB"/>
    <w:rsid w:val="00681F53"/>
    <w:rsid w:val="006820F9"/>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881"/>
    <w:rsid w:val="006A3DD2"/>
    <w:rsid w:val="006A5DFC"/>
    <w:rsid w:val="006A6C71"/>
    <w:rsid w:val="006A7398"/>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4A88"/>
    <w:rsid w:val="00715DC3"/>
    <w:rsid w:val="007168A8"/>
    <w:rsid w:val="00716B6D"/>
    <w:rsid w:val="00716EAE"/>
    <w:rsid w:val="00720E7C"/>
    <w:rsid w:val="007216C6"/>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57C6"/>
    <w:rsid w:val="00746195"/>
    <w:rsid w:val="007467B2"/>
    <w:rsid w:val="00746817"/>
    <w:rsid w:val="00751296"/>
    <w:rsid w:val="00752446"/>
    <w:rsid w:val="00752602"/>
    <w:rsid w:val="00753323"/>
    <w:rsid w:val="00753F5D"/>
    <w:rsid w:val="007540CB"/>
    <w:rsid w:val="00754BFC"/>
    <w:rsid w:val="007558E8"/>
    <w:rsid w:val="007559FA"/>
    <w:rsid w:val="00755B0B"/>
    <w:rsid w:val="00756091"/>
    <w:rsid w:val="00756CC1"/>
    <w:rsid w:val="007574B3"/>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4B8C"/>
    <w:rsid w:val="00774E18"/>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776E"/>
    <w:rsid w:val="008378F9"/>
    <w:rsid w:val="00837B51"/>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79EB"/>
    <w:rsid w:val="0086073A"/>
    <w:rsid w:val="008612EE"/>
    <w:rsid w:val="0086184A"/>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66C3"/>
    <w:rsid w:val="008A7365"/>
    <w:rsid w:val="008A7422"/>
    <w:rsid w:val="008B0709"/>
    <w:rsid w:val="008B0CDA"/>
    <w:rsid w:val="008B15F4"/>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5DC"/>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4A7"/>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8A4"/>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97F75"/>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34B"/>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0AD4"/>
    <w:rsid w:val="00B81DD3"/>
    <w:rsid w:val="00B82ACE"/>
    <w:rsid w:val="00B83179"/>
    <w:rsid w:val="00B83B09"/>
    <w:rsid w:val="00B8461F"/>
    <w:rsid w:val="00B849FD"/>
    <w:rsid w:val="00B84E95"/>
    <w:rsid w:val="00B851BE"/>
    <w:rsid w:val="00B85FBA"/>
    <w:rsid w:val="00B90F33"/>
    <w:rsid w:val="00B919F2"/>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2C33"/>
    <w:rsid w:val="00BB7888"/>
    <w:rsid w:val="00BB7A90"/>
    <w:rsid w:val="00BC100F"/>
    <w:rsid w:val="00BC203A"/>
    <w:rsid w:val="00BC25CC"/>
    <w:rsid w:val="00BC2CE2"/>
    <w:rsid w:val="00BC31B3"/>
    <w:rsid w:val="00BC3655"/>
    <w:rsid w:val="00BC437F"/>
    <w:rsid w:val="00BC5251"/>
    <w:rsid w:val="00BC5645"/>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B07"/>
    <w:rsid w:val="00BF0C5E"/>
    <w:rsid w:val="00BF1002"/>
    <w:rsid w:val="00BF1080"/>
    <w:rsid w:val="00BF1619"/>
    <w:rsid w:val="00BF1BD6"/>
    <w:rsid w:val="00BF1CB2"/>
    <w:rsid w:val="00BF229F"/>
    <w:rsid w:val="00BF2737"/>
    <w:rsid w:val="00BF46E3"/>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1F32"/>
    <w:rsid w:val="00C1202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1D4"/>
    <w:rsid w:val="00C2433D"/>
    <w:rsid w:val="00C24495"/>
    <w:rsid w:val="00C258C8"/>
    <w:rsid w:val="00C25B6F"/>
    <w:rsid w:val="00C25D37"/>
    <w:rsid w:val="00C263E8"/>
    <w:rsid w:val="00C26986"/>
    <w:rsid w:val="00C26CAF"/>
    <w:rsid w:val="00C276C0"/>
    <w:rsid w:val="00C31388"/>
    <w:rsid w:val="00C3164E"/>
    <w:rsid w:val="00C318C6"/>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91"/>
    <w:rsid w:val="00C563D7"/>
    <w:rsid w:val="00C57047"/>
    <w:rsid w:val="00C603D1"/>
    <w:rsid w:val="00C60674"/>
    <w:rsid w:val="00C60DD3"/>
    <w:rsid w:val="00C61D10"/>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21E7"/>
    <w:rsid w:val="00C82905"/>
    <w:rsid w:val="00C83786"/>
    <w:rsid w:val="00C83FED"/>
    <w:rsid w:val="00C8446E"/>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B70A3"/>
    <w:rsid w:val="00CC0EAF"/>
    <w:rsid w:val="00CC1991"/>
    <w:rsid w:val="00CC3E2F"/>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78A"/>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ED8"/>
    <w:rsid w:val="00D50FFB"/>
    <w:rsid w:val="00D51F71"/>
    <w:rsid w:val="00D52A95"/>
    <w:rsid w:val="00D52BC5"/>
    <w:rsid w:val="00D52CC8"/>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13D"/>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26F"/>
    <w:rsid w:val="00E51BD5"/>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1F36"/>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6885"/>
    <w:rsid w:val="00EC6FF5"/>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3D8F"/>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825"/>
    <w:rsid w:val="00F70B01"/>
    <w:rsid w:val="00F71010"/>
    <w:rsid w:val="00F71394"/>
    <w:rsid w:val="00F715A2"/>
    <w:rsid w:val="00F735B7"/>
    <w:rsid w:val="00F748CB"/>
    <w:rsid w:val="00F74C4B"/>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46E"/>
    <w:rsid w:val="00FC6A7A"/>
    <w:rsid w:val="00FC7A35"/>
    <w:rsid w:val="00FD0642"/>
    <w:rsid w:val="00FD2D4E"/>
    <w:rsid w:val="00FD3370"/>
    <w:rsid w:val="00FD358F"/>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1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226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323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c:v>135.6</c:v>
                </c:pt>
                <c:pt idx="1">
                  <c:v>706.8</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General</c:formatCode>
                <c:ptCount val="2"/>
                <c:pt idx="0">
                  <c:v>87.7</c:v>
                </c:pt>
                <c:pt idx="1">
                  <c:v>538</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General</c:formatCode>
                <c:ptCount val="2"/>
                <c:pt idx="0">
                  <c:v>56.3</c:v>
                </c:pt>
                <c:pt idx="1">
                  <c:v>389.5</c:v>
                </c:pt>
              </c:numCache>
            </c:numRef>
          </c:val>
        </c:ser>
        <c:axId val="156132864"/>
        <c:axId val="156134784"/>
      </c:barChart>
      <c:catAx>
        <c:axId val="156132864"/>
        <c:scaling>
          <c:orientation val="minMax"/>
        </c:scaling>
        <c:axPos val="b"/>
        <c:numFmt formatCode="General" sourceLinked="1"/>
        <c:tickLblPos val="nextTo"/>
        <c:txPr>
          <a:bodyPr rot="0" vert="horz"/>
          <a:lstStyle/>
          <a:p>
            <a:pPr>
              <a:defRPr/>
            </a:pPr>
            <a:endParaRPr lang="ar-SA"/>
          </a:p>
        </c:txPr>
        <c:crossAx val="156134784"/>
        <c:crossesAt val="0"/>
        <c:auto val="1"/>
        <c:lblAlgn val="ctr"/>
        <c:lblOffset val="100"/>
        <c:tickLblSkip val="1"/>
        <c:tickMarkSkip val="1"/>
      </c:catAx>
      <c:valAx>
        <c:axId val="156134784"/>
        <c:scaling>
          <c:orientation val="minMax"/>
        </c:scaling>
        <c:axPos val="l"/>
        <c:title>
          <c:tx>
            <c:rich>
              <a:bodyPr/>
              <a:lstStyle/>
              <a:p>
                <a:pPr>
                  <a:defRPr/>
                </a:pPr>
                <a:r>
                  <a:rPr lang="en-US"/>
                  <a:t>Number in thousands</a:t>
                </a:r>
                <a:endParaRPr lang="ar-JO"/>
              </a:p>
            </c:rich>
          </c:tx>
          <c:layout>
            <c:manualLayout>
              <c:xMode val="edge"/>
              <c:yMode val="edge"/>
              <c:x val="1.1386927806877931E-2"/>
              <c:y val="0.19046564610895739"/>
            </c:manualLayout>
          </c:layout>
        </c:title>
        <c:numFmt formatCode="0" sourceLinked="0"/>
        <c:tickLblPos val="nextTo"/>
        <c:txPr>
          <a:bodyPr rot="0" vert="horz"/>
          <a:lstStyle/>
          <a:p>
            <a:pPr>
              <a:defRPr sz="900"/>
            </a:pPr>
            <a:endParaRPr lang="ar-SA"/>
          </a:p>
        </c:txPr>
        <c:crossAx val="156132864"/>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95"/>
          <c:w val="0.40895733635178355"/>
          <c:h val="0.76834379790749263"/>
        </c:manualLayout>
      </c:layout>
      <c:pieChart>
        <c:varyColors val="1"/>
        <c:ser>
          <c:idx val="0"/>
          <c:order val="0"/>
          <c:explosion val="1"/>
          <c:dLbls>
            <c:dLbl>
              <c:idx val="0"/>
              <c:layout>
                <c:manualLayout>
                  <c:x val="5.8411766104242591E-2"/>
                  <c:y val="2.0604039040598068E-2"/>
                </c:manualLayout>
              </c:layout>
              <c:showCatName val="1"/>
              <c:showPercent val="1"/>
            </c:dLbl>
            <c:dLbl>
              <c:idx val="1"/>
              <c:layout>
                <c:manualLayout>
                  <c:x val="-4.4932362211587792E-2"/>
                  <c:y val="-5.2241307175969247E-2"/>
                </c:manualLayout>
              </c:layout>
              <c:showCatName val="1"/>
              <c:showPercent val="1"/>
            </c:dLbl>
            <c:dLbl>
              <c:idx val="2"/>
              <c:layout>
                <c:manualLayout>
                  <c:x val="-0.11273147597867623"/>
                  <c:y val="-8.856969223158196E-3"/>
                </c:manualLayout>
              </c:layout>
              <c:showCatName val="1"/>
              <c:showPercent val="1"/>
            </c:dLbl>
            <c:dLbl>
              <c:idx val="3"/>
              <c:layout>
                <c:manualLayout>
                  <c:x val="0.12893207694609884"/>
                  <c:y val="0"/>
                </c:manualLayout>
              </c:layout>
              <c:showCatName val="1"/>
              <c:showPercent val="1"/>
            </c:dLbl>
            <c:dLbl>
              <c:idx val="4"/>
              <c:layout>
                <c:manualLayout>
                  <c:x val="-1.8404500367858651E-2"/>
                  <c:y val="-3.9729244412955805E-2"/>
                </c:manualLayout>
              </c:layout>
              <c:showCatName val="1"/>
              <c:showPercent val="1"/>
            </c:dLbl>
            <c:numFmt formatCode="0.0%" sourceLinked="0"/>
            <c:showCatName val="1"/>
            <c:showPercent val="1"/>
            <c:showLeaderLines val="1"/>
          </c:dLbls>
          <c:cat>
            <c:strRef>
              <c:f>Sheet1!$A$2:$A$5</c:f>
              <c:strCache>
                <c:ptCount val="4"/>
                <c:pt idx="0">
                  <c:v>House</c:v>
                </c:pt>
                <c:pt idx="1">
                  <c:v>Apartment</c:v>
                </c:pt>
                <c:pt idx="2">
                  <c:v>Villa</c:v>
                </c:pt>
                <c:pt idx="3">
                  <c:v>Others*</c:v>
                </c:pt>
              </c:strCache>
            </c:strRef>
          </c:cat>
          <c:val>
            <c:numRef>
              <c:f>Sheet1!$B$2:$B$5</c:f>
              <c:numCache>
                <c:formatCode>General</c:formatCode>
                <c:ptCount val="4"/>
                <c:pt idx="0">
                  <c:v>51.2</c:v>
                </c:pt>
                <c:pt idx="1">
                  <c:v>46.4</c:v>
                </c:pt>
                <c:pt idx="2">
                  <c:v>1.7</c:v>
                </c:pt>
                <c:pt idx="3">
                  <c:v>0.70000000000000062</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174"/>
          <c:y val="0.20540211680038895"/>
          <c:w val="0.37872413204835098"/>
          <c:h val="0.67789372231100808"/>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655E-3"/>
                  <c:y val="-0.13864061624196211"/>
                </c:manualLayout>
              </c:layout>
              <c:dLblPos val="bestFit"/>
              <c:showCatName val="1"/>
              <c:showPercent val="1"/>
            </c:dLbl>
            <c:dLbl>
              <c:idx val="3"/>
              <c:layout>
                <c:manualLayout>
                  <c:x val="0.14157710175203461"/>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89.3</c:v>
                </c:pt>
                <c:pt idx="1">
                  <c:v>5.0999999999999996</c:v>
                </c:pt>
                <c:pt idx="2">
                  <c:v>5.0999999999999996</c:v>
                </c:pt>
                <c:pt idx="3">
                  <c:v>0.4</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975"/>
          <c:h val="0.74044107908804468"/>
        </c:manualLayout>
      </c:layout>
      <c:pieChart>
        <c:varyColors val="1"/>
        <c:ser>
          <c:idx val="0"/>
          <c:order val="0"/>
          <c:dPt>
            <c:idx val="0"/>
            <c:explosion val="4"/>
          </c:dPt>
          <c:dPt>
            <c:idx val="1"/>
            <c:explosion val="5"/>
          </c:dPt>
          <c:dPt>
            <c:idx val="2"/>
            <c:explosion val="4"/>
          </c:dPt>
          <c:dLbls>
            <c:dLbl>
              <c:idx val="0"/>
              <c:layout>
                <c:manualLayout>
                  <c:x val="0.13713964054031624"/>
                  <c:y val="-0.12758620545313823"/>
                </c:manualLayout>
              </c:layout>
              <c:showCatName val="1"/>
              <c:showPercent val="1"/>
            </c:dLbl>
            <c:dLbl>
              <c:idx val="1"/>
              <c:layout>
                <c:manualLayout>
                  <c:x val="-0.11821846618111589"/>
                  <c:y val="6.3672130241739872E-2"/>
                </c:manualLayout>
              </c:layout>
              <c:showCatName val="1"/>
              <c:showPercent val="1"/>
            </c:dLbl>
            <c:dLbl>
              <c:idx val="2"/>
              <c:layout>
                <c:manualLayout>
                  <c:x val="-9.0096132395036166E-2"/>
                  <c:y val="-3.9138156856523206E-4"/>
                </c:manualLayout>
              </c:layout>
              <c:showCatName val="1"/>
              <c:showPercent val="1"/>
            </c:dLbl>
            <c:dLbl>
              <c:idx val="3"/>
              <c:layout>
                <c:manualLayout>
                  <c:x val="8.9811581679661925E-2"/>
                  <c:y val="-5.3224615420721724E-2"/>
                </c:manualLayout>
              </c:layout>
              <c:showCatName val="1"/>
              <c:showPercent val="1"/>
            </c:dLbl>
            <c:numFmt formatCode="0.0%" sourceLinked="0"/>
            <c:showCatName val="1"/>
            <c:showPercent val="1"/>
            <c:showLeaderLines val="1"/>
          </c:dLbls>
          <c:cat>
            <c:strRef>
              <c:f>Sheet1!$A$2:$A$5</c:f>
              <c:strCache>
                <c:ptCount val="4"/>
                <c:pt idx="0">
                  <c:v>Flush to Septik Porous Tank </c:v>
                </c:pt>
                <c:pt idx="1">
                  <c:v>Flush to Piped Sewer System</c:v>
                </c:pt>
                <c:pt idx="2">
                  <c:v>Flush to Septik Tight Tank </c:v>
                </c:pt>
                <c:pt idx="3">
                  <c:v>Others*</c:v>
                </c:pt>
              </c:strCache>
            </c:strRef>
          </c:cat>
          <c:val>
            <c:numRef>
              <c:f>Sheet1!$B$2:$B$5</c:f>
              <c:numCache>
                <c:formatCode>General</c:formatCode>
                <c:ptCount val="4"/>
                <c:pt idx="0">
                  <c:v>61.8</c:v>
                </c:pt>
                <c:pt idx="1">
                  <c:v>28.7</c:v>
                </c:pt>
                <c:pt idx="2">
                  <c:v>9.3000000000000007</c:v>
                </c:pt>
                <c:pt idx="3">
                  <c:v>0.2</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7BEEB-99EB-439A-B9C7-2500F2671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1</Pages>
  <Words>6202</Words>
  <Characters>35354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761</cp:revision>
  <cp:lastPrinted>2020-01-15T11:39:00Z</cp:lastPrinted>
  <dcterms:created xsi:type="dcterms:W3CDTF">2018-07-17T11:18:00Z</dcterms:created>
  <dcterms:modified xsi:type="dcterms:W3CDTF">2020-01-15T12:04:00Z</dcterms:modified>
</cp:coreProperties>
</file>